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年度宁波市政府下达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慈溪市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</w:rPr>
        <w:t>中央企业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  <w:lang w:eastAsia="zh-CN"/>
        </w:rPr>
        <w:t>（省属企业）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安置计划及慈溪市</w:t>
      </w:r>
      <w:r>
        <w:rPr>
          <w:rFonts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本级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安排工作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退役士兵安置计划表</w:t>
      </w:r>
    </w:p>
    <w:tbl>
      <w:tblPr>
        <w:tblStyle w:val="2"/>
        <w:tblW w:w="10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586"/>
        <w:gridCol w:w="723"/>
        <w:gridCol w:w="605"/>
        <w:gridCol w:w="595"/>
        <w:gridCol w:w="585"/>
        <w:gridCol w:w="705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5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安置单位名称</w:t>
            </w:r>
          </w:p>
        </w:tc>
        <w:tc>
          <w:tcPr>
            <w:tcW w:w="32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岗位性质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中央企业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省属企业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股份制企业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地方事业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地方国企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中国农业银行股份有限公司慈溪分行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下达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安置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中国银行股份有限公司慈溪分行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中国工商银行股份有限公司慈溪分行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中国人民财产保险股份有限公司慈溪中心支公司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慈溪市烟草专卖局（分公司）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宁波康韩瑞电器有限公司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中国人寿保险股份有限公司宁波市分公司慈溪市支公司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中机博也（宁波）汽车技术有限公司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宁波慈溪农村商业银行股份有限公司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浙江宁波安邦护卫有限公司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浙江镇洋发展股份有限公司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5"/>
                <w:szCs w:val="25"/>
                <w:lang w:eastAsia="zh-CN"/>
              </w:rPr>
              <w:t>慈溪市交通运输局下属市交通运输综合服务中心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慈溪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_GB2312" w:cs="仿宋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慈溪市自然资源和规划局下属市林场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慈溪市水利局下属市水务水利管理服务中心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慈溪市水利局下属市水库管理中心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慈溪市城市管理服务中心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宁波慈溪城投集团（下属公司）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宁波慈溪交通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（下属公司）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宁波慈溪工贸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（下属公司）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_GB2312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宁波慈溪文旅</w:t>
            </w:r>
            <w:r>
              <w:rPr>
                <w:rFonts w:hint="eastAsia" w:ascii="仿宋_GB2312" w:eastAsia="仿宋_GB2312"/>
                <w:sz w:val="28"/>
                <w:szCs w:val="28"/>
              </w:rPr>
              <w:t>集团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（下属公司）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慈溪市国有资产投资控股有限公司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慈溪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市诚正建设工程检测有限公司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慈溪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粮食收储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慈东工业发展有限公司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慈溪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市杭州湾现代农业开发有限公司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2025"/>
    <w:rsid w:val="58E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2024-08-22T09:40:26Z</dcterms:created>
  <dc:creator>资料</dc:creator>
  <cp:lastModifiedBy>资料</cp:lastModifiedBy>
  <dcterms:modified xsi:type="dcterms:W3CDTF">2024-08-22T09:41:59Z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