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慈溪市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公共法律服务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十百千万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提升专项行动方案实施细则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一、项目内容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65"/>
        <w:gridCol w:w="3176"/>
        <w:gridCol w:w="5835"/>
        <w:gridCol w:w="1110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工作目标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具体举措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牵头责任处室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落实单位部门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(一）</w:t>
            </w:r>
          </w:p>
        </w:tc>
        <w:tc>
          <w:tcPr>
            <w:tcW w:w="1335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法律服务网络（移动）平台（项目）建设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jc w:val="center"/>
              <w:rPr>
                <w:rFonts w:hint="eastAsia" w:ascii="仿宋_GB2312" w:hAnsi="仿宋_GB2312" w:eastAsia="仿宋_GB2312" w:cs="仿宋_GB2312"/>
                <w:strike w:val="0"/>
                <w:dstrike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trike w:val="0"/>
                <w:dstrike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Cs w:val="21"/>
                <w:lang w:bidi="ar"/>
              </w:rPr>
              <w:t>网络平台法律服务信息及时更新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公布并及时更新各级（类）法律服务机构与法律服务人员的相关信息。在司法行政各类移动应用等网上、掌上渠道，及时发布（更新）各级（类）法律服务机构、法律服务人员的相关信息</w:t>
            </w:r>
            <w:r>
              <w:rPr>
                <w:rFonts w:hint="eastAsia" w:ascii="仿宋_GB2312" w:hAnsi="仿宋_GB2312" w:eastAsia="仿宋_GB2312" w:cs="仿宋_GB2312"/>
              </w:rPr>
              <w:commentReference w:id="0"/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各业务科室定期（一年不少于2次）将需发布（更新）的相关法律服务机构、法律服务人员等内容，交由局办公室统一在网络平台上发布（更新）。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办公室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各业务科室和各基层司法所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加大线上、远程调解工作推广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实现矛盾化解“上门跑”为“网上跑’、“数据跑”代替“群众跑”。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加大推行社会矛盾纠纷线上调解力度，推广应用浙江省在线矛盾纠纷多元化解平台（0DR）、人民调解大数据管理平台、“移动微法院”等有效载体，打破矛盾调解时空限制，实现线上线下联动互补，为群众提供便捷、精准、高效的社会矛盾纠纷调处化解服务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促进科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“公证E通”项目建设推广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实现 “公证E通”纳入“浙里办”APP，不断完善“公证E通”办理事项，打造“线上线下”一体化公证服务申办平台。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不断深化“公证E通”改革，持续推进“公证E通”智能优化和功能升级。将“公证E通”向全市推广，实现更多公证服务事项“网上办、掌上办”。加快与公安、民政、教育等相关市级部门对接联系，加快数据共享，将更多涉及民生领域且时效性要求高的事项加入业务办理范围，力争通过数字化平台集成应用，加快公证服务从数字化到智能化再到智慧化转变，全面提升“公证E通”自助化水平，力争在年底形成覆盖城乡、功能完备、便捷高效的公证服务网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公证处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深化“e+法援”推广服务活动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巩固“e+法援”宣传活动成效，进一步畅通网络申请渠道，提高网络申请率。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1.完成投放法律援助社区LED彩屏广告。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2.落实专人负责各平台网络咨询回复和法网交办件，做到及时准确，逐年提高法律援助网络（掌上）办件量。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3.进行深化“全城通办”，实现法律援助申请市域一体化。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法援中心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(二)</w:t>
            </w:r>
          </w:p>
        </w:tc>
        <w:tc>
          <w:tcPr>
            <w:tcW w:w="1335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 w:bidi="ar"/>
              </w:rPr>
              <w:t>12348热线平台建设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“12348”公共法律服务热线提升活动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全网互联互通的基础上，加大服务力量供给，加强日常在线监管，定期分析通报服务情况。积极探索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服务外包、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引入社会力量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的新模式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，提供7*24小时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专业法律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服务。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1.定期发布“12348”公共法律服务热线运行情况通报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公布接通率、制单率、满意度。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.偿试探索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12348热线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服务外包、引入社会力量提供工作时间外法律服务。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法援中心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(三)</w:t>
            </w:r>
          </w:p>
        </w:tc>
        <w:tc>
          <w:tcPr>
            <w:tcW w:w="1335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12348公共法律服务实体平台建设与规范化水平提升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全面推进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市、镇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公共法律服务中心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（站）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入驻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市、镇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社会矛盾纠纷调处化解中心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放大最多跑一次改革理念和精神，把最多跑一次引入社会治理领域，进一步加大律师、公证、司法鉴定、调解等公共法律服务资源整合力度，真正做到“只进一扇门、最多跑一地”。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1.动员部署，年底前全部完成进驻工作；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.加大工作交流力度，积极听取各地进驻后的工作开展情况，做好工作总结。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公法科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规范化公共法律服务示范平台（窗口）建设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积极组织开展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规范化公共法律服务示范窗口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品牌人民调解工作室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创建工作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1.完善《慈溪市村（社区）法律顾问工作考核办法》，为推进村（社区）法律顾问高质量服务提供保障。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2.贯彻落实司法部《全国刑事法律援助服务规范》《全国民事行政法律援助服务规范》和浙江省《法律援助服务规范》，加强法律援助受理审查、指派办理、过程监控、结案归档、质量评估等全流程管理。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3.落实浙江省《人民调解工作规范》，按照“五落实、六统一”的要求，大力加强人民调解规范化建设，确保调解文书格式统一、制作规范，提升调解工作规范化水平和公信力。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4.积极创建“人民调解委员会规范化建设示范点”和“个人品牌调解工作室”，确保宁波市人民调解品牌工作室达到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2家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，示范点达1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个以上。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5.进一步规范市镇两级人民调解协会的运行，建立行政指导和行业管理相结合的工作模式。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公法科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各业务科室及各基层司法所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积极融入矛盾纠纷化解“最多跑一地”改革，进一步加强人民调解工作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坚持发展新时代“枫桥经验”，以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构建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民调解为引领的多元调解工作格局为目标，进一步发挥人民调解作用，夯实矛盾纠纷一站式接收、一揽子调处、全链条解决基础，打造诉源治理新体系，加快推进市域治理现代化，最大限度把矛盾化解在基层、解决在萌芽状态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1.加大矛盾纠纷排查化解力度。深化“坚持发展‘枫桥经验’实现矛盾不上交三年行动”，进一步健全矛盾纠纷预警、排查、调处体系建设，推广“网格融调”等经验。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2.构建完善大调解工作格局。推动建立“综合性”“一站式”调解工作平台，推进人民调解协会实体化运作，整合各类调解资源和力量，联动化解重大疑难复杂矛盾纠纷。健全完善矛盾纠纷多元化解联动机制，通过司法确认、仲裁等方式增强人民调解协议的法律效力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3.加强专职人民调解员队伍建设。贯彻落实宁波市《关于加强人民调解员队伍建设的实施意见》，按要求配备专职人民调解员，提升专职人民调解员占比。建立人民调解员人才储备库，选聘退休政法干警、社会专业人士以及乡贤等担任专职人民调解员，推动人民调解工作向专职化方向发展。完善人民调解专家库，建立专家微信工作群。开展“名师带徒”工程，培育一批高素质的人民调解员。健全人民调解服务评价评定机制，强化结果运用，将评价结果作为人民调解员等级评定、评先评优重要依据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促进科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法律援助规范化水平提升活动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贯彻落实有关规范化水平提升年活动的有关要求，进一步提升法律援助各环节业务的规范化水平。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依照《宁波市法律援助指派业务规范指引》《宁波市法律援助积分办法》规范指派，开展法律援助案件质量“一案一评”。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法援中心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加强法律顾问工作，常态化推进“民营企业法治体检”活动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在法律服务上“顾大帮小助政”（大的企业法律顾问要跟进、小的企业要帮扶、助力政府依法行政），实现企业法律服务“全覆盖、网格化”。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1.常态化开展“民营企业法治体检”。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2.加强和市工商联、经信局、商务局、贸促会等部门的对接，组建律师专业服务团队，为企业提供精准服务。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3.发展“两公”律师队伍，组织开展“两公”律师培训，提升“两公”律师服务能力。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公法科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各基层司法所、宁波市律协慈溪分会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深入推进律师行业“扬帆行动”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推进律师行业党建，通过对中小律师事务所培育、青年律师培养、法律服务资源欠缺地区律师人才培植促进行业整体高质量发展。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1.和鄞州地区、余姚地区开展对口联系帮扶活动。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2.组织开展青年律师成长课堂、演讲比赛、青年律师训练营等，加强青年律师培养。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.组织中小所主任开展交流、外出考察学习等,提升中小所管理能力。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.推进律所信息化管理。以信息化管理提升规范化，在全市律师事务所中推行使用“律师镖局”案件管理系统，推广使用率达100%。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公法科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宁波市律协慈溪分会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引导律师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积极收集企业法律风险及问题，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报送相关案例和风险点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结合“法雨春风”、民营企业“法治体检”等活动成果，组织律师编制新一批企业经营法律风险点和典型案例，为企业完善治理结构，规范知识产权保护和劳动用工，妥善应对国际贸易、合同争议等法律风险提供借鉴参考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积极组织律师参与企业经营法律风险点和典型案例报送活动。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公法科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宁波市律协慈溪分会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持续推进法律服务进村为民工程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进一步深化村（社区）法律顾问工作。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1.深化村（社区）法律顾问工作，实施“法律服务进村为民”工程，落实和推广村（社区）法律顾问“六个一”制度。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2.提升人民群众村（社区）法律服务获得感，积极探索村（社区）公益法律服务品牌。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公法科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各基层司法所、宁波市律协慈溪分会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14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加强公证质量建设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加强监管力度，从源头提升公证质量，继续保持我市公证案卷质量位于全省前列。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加强公证工作日常检查指导力度。落实公证处自查制度建设。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公法科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公证处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15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司法行政案例库建设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定期报送案例，各单位部门指定专人负责，定期收集、审核、筛选、报送相关案例。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积极向宁波市局、省厅（司法部）报送优秀案例。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各业务科室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16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发布《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慈溪市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共法律服务产品指导目录》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结合我市实际，紧扣社会和群众需求，拓展创新法律服务领域，优化供给配置，充实完善《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 w:bidi="ar"/>
              </w:rPr>
              <w:t>慈溪市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公共法律服务产品指导目录》，健全完善命名规范、流程清晰、办事材料明确的公共法律服务事项清单，真正让人民群众找得方便、求得明白、办得满意。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结合慈溪实际发布《慈溪市公共法律服务产品指导目录》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公法科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各业务科室及各基层司法所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(四)</w:t>
            </w:r>
          </w:p>
        </w:tc>
        <w:tc>
          <w:tcPr>
            <w:tcW w:w="1335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b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bidi="ar"/>
              </w:rPr>
              <w:t>普法学法平台建设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加强普法学法网络平台建设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充分发挥数字信息化法治宣传的教育引导作用，努力形成全社会尊法、学法、用法、守法的良好氛围。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1.充分发挥慈溪市融媒体中心《法治时空》《现“声”说法》、“慈溪普法”微信、微博、抖音等宣传阵地作用，健全运行机制，完善栏目设置。</w:t>
            </w:r>
          </w:p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2.持续打造“法治云课堂”“扫码听法”等网络普法品牌，推出一批适合新媒体平台传播的普法短视频、动态海报、普法H5、普法游戏。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普治科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开展民法典宣传普及活动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充分发挥法治宣传的教育引导作用，增强全民法治意识，确保民法典全面有效贯彻实施，以更好推进全面依法治国、建设社会主义法治国家，更好保障人民权益。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印发《关于组织开展民法典宣传普法活动的通知》,主要内容包括组建慈溪市民法典普法讲师团，在全市范围内开展民法典宣传教育活动；将民法典纳入党委理论学习中心组集体学法、政府常务会议学法、部门领导班子学法重要内容，将民法典学习纳入新任市管领导干部学法考试内容，纳入全市市管领导干部和公务员年度学法用法考试培训内容；落实民法典普法责任制，开展民法典以案释法活动；在法治乡村建设中推动民法典宣传进村入户；加强民法典相关法治文创作品创作，积极组织参与全省“民法典与我”法治动漫、微视频征集展播活动；将民法典宣传纳入“七五”普法总结验收，纳入“八五”普法规划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普治科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各基层司法所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民法典主题法治文化阵地建设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建设以民法典为主题的特色法治文化场馆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精心选址，建设以民法典为主题的特色法治文化场馆,年内实现全覆盖,开展面向机关、企业和市民的民法系列宣传活动。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210" w:rightChars="0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普治科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各基层司法所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ind w:firstLine="44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二、公共法律服务专家库名额</w:t>
      </w:r>
    </w:p>
    <w:tbl>
      <w:tblPr>
        <w:tblStyle w:val="6"/>
        <w:tblW w:w="12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190"/>
        <w:gridCol w:w="2265"/>
        <w:gridCol w:w="25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专家库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律师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人民调解员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法援律师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名额合计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数量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1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负责科室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公法科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促进科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法援中心</w:t>
            </w:r>
          </w:p>
        </w:tc>
        <w:tc>
          <w:tcPr>
            <w:tcW w:w="288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spacing w:line="24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</w:p>
    <w:p>
      <w:pPr>
        <w:spacing w:line="240" w:lineRule="exact"/>
        <w:rPr>
          <w:rFonts w:hint="eastAsia" w:ascii="黑体" w:hAnsi="黑体" w:eastAsia="黑体"/>
          <w:sz w:val="28"/>
          <w:szCs w:val="28"/>
        </w:rPr>
      </w:pPr>
    </w:p>
    <w:p>
      <w:pPr>
        <w:spacing w:line="28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三、公共法律服务志愿者名额建议表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381" w:tblpY="283"/>
        <w:tblOverlap w:val="never"/>
        <w:tblW w:w="12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1359"/>
        <w:gridCol w:w="2449"/>
        <w:gridCol w:w="3396"/>
        <w:gridCol w:w="193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志愿者类别、地区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普法宣传志愿者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矛盾纠纷化解志愿者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法律援助（法律咨询）志愿者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社区矫正志愿者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数量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负责科室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普治科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促进科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法援中心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社区矫正管理局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lang w:val="en-US" w:eastAsia="zh-CN"/>
        </w:rPr>
        <w:sectPr>
          <w:pgSz w:w="16838" w:h="11906" w:orient="landscape"/>
          <w:pgMar w:top="1080" w:right="1440" w:bottom="1080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20-11-05T09:19:00Z" w:initials="u">
    <w:p w14:paraId="72AE2CD6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2AE2CD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D6186"/>
    <w:rsid w:val="15554570"/>
    <w:rsid w:val="16796529"/>
    <w:rsid w:val="330D6186"/>
    <w:rsid w:val="59C2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2020-11-16T08:30:00Z</dcterms:created>
  <dc:creator>user</dc:creator>
  <cp:lastModifiedBy>user</cp:lastModifiedBy>
  <dcterms:modified xsi:type="dcterms:W3CDTF">2020-11-16T08:32:29Z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